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Poprawnie wdrożona procedura przeciwdziałania praniu brudnych pieniędzy - jak to zrobić?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lipcu 2018 roku weszła w życie nowa ustawa o przeciwdziałaniu praniu pieniędzy i finansowaniu terroryzmu. Szereg firm musiało się zatem dostosować do przepisów przez nią narzuconych. Wdrożenie procedury przeciwdziałania praniu brudnych pieniędzy nie jest takie proste, dlatego warto skorzystać z usług profesjonalnych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zasady związane z ustawą o AML wymagają, by została wdrożona właściwa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procedura przeciwdziałania praniu brudnych pieniędzy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Proces ten obejmuje głównie działania z zakresu gromadzenia, przetwarzania i przekazywania danych podmiotom informacji. Jak poprawnie przejść przez te wszystkie kroki? Skorzystaj z pomocy profesjonalistów.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procedura przeciwdziałania praniu brudnych pieniędzy?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poprawnie wdrożyć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procedurę przeciwdziałania praniu brudnych pieniędzy</w:t>
      </w:r>
      <w:r>
        <w:rPr>
          <w:rFonts w:ascii="calibri" w:hAnsi="calibri" w:eastAsia="calibri" w:cs="calibri"/>
          <w:sz w:val="24"/>
          <w:szCs w:val="24"/>
        </w:rPr>
        <w:t xml:space="preserve">, najpierw trzeba zająć się bezpiecznym zidentyfikowaniem i zweryfikowaniem danych osobowych konkretnych podmiotów, czyli najczęściej klientów instytucji obowiązanych. To działanie jest konieczne ze względu na dokonanie oceny ryzyka związanego z finansowaniem terroryzmu. Na jej podstawie można zastosować konkretne środki bezpieczeństwa.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musi wdrożyć procedurę przeciwdziałania praniu brudnych pieniędzy?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Nowej ustawie muszą podporządkować się wszystkie instytucje obowiązane w Polsce. Są to między innymi banki, firmy pożyczkowe, biura rachunkowe, towarzystwa funduszy inwestycyjnych itp. Warto zaznaczyć, że </w:t>
      </w:r>
      <w:r>
        <w:rPr>
          <w:rFonts w:ascii="calibri" w:hAnsi="calibri" w:eastAsia="calibri" w:cs="calibri"/>
          <w:sz w:val="24"/>
          <w:szCs w:val="24"/>
          <w:b/>
        </w:rPr>
        <w:t xml:space="preserve">procedurę przeciwdziałania praniu brudnych pieniędzy</w:t>
      </w:r>
      <w:r>
        <w:rPr>
          <w:rFonts w:ascii="calibri" w:hAnsi="calibri" w:eastAsia="calibri" w:cs="calibri"/>
          <w:sz w:val="24"/>
          <w:szCs w:val="24"/>
        </w:rPr>
        <w:t xml:space="preserve"> powinny wdrożyć także przedsiębiorcy, których działalność opiera się na tworzeniu spółek. Jeśli nie jesteś pewien, czy Twoja firma została objęta nowymi przepisami, skontaktuj się z profesjonalistami i nie narażaj się na wysokie kary!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2026-07-31T03:33:32+02:00</dcterms:created>
  <dcterms:modified xsi:type="dcterms:W3CDTF">2026-07-31T03:33:32+02:00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