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AML - wsparcie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Twoja działalność należy do grona instytucji obowiązanych, które powinny wdrożyć obowiązkowe procedury AML, wsparciem będzie &lt;b&gt;ekspert AML&lt;/b&gt;. Odpowiednie kwalifikacje w tym zakresie z pewnością pomogą uruchomić odpowiednie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Obowiązkowe przeciwdziałanie praniu pieniędzy (AML) dotyczy szeregu firm, stowarzyszeń i fundacji. </w:t>
      </w:r>
      <w:r>
        <w:rPr>
          <w:rFonts w:ascii="calibri" w:hAnsi="calibri" w:eastAsia="calibri" w:cs="calibri"/>
          <w:sz w:val="24"/>
          <w:szCs w:val="24"/>
          <w:b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to profesjonalna pomoc w tym zakresie. Brak wypełnienia założeń ustawy może skutkować dotkliwymi karami administracyjnymi, a także karnymi. Organem, którego zadaniem jest analiza i kontrola działań w tej materii jest Generalny Inspektor Informacji Finansowej.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AML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oferowane dla instytucji obowiązanych wymagają ciągłej aktualizacji, zgodnej z aktualnym stanem prawnym. Powinny być również dopasowane do profilu konkretnej działalności. Współpracując z iAML, otrzymasz wsparcie doświadczonego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eksperta</w:t>
      </w:r>
      <w:r>
        <w:rPr>
          <w:rFonts w:ascii="calibri" w:hAnsi="calibri" w:eastAsia="calibri" w:cs="calibri"/>
          <w:sz w:val="24"/>
          <w:szCs w:val="24"/>
        </w:rPr>
        <w:t xml:space="preserve"> z dziedziny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AML</w:t>
      </w:r>
      <w:r>
        <w:rPr>
          <w:rFonts w:ascii="calibri" w:hAnsi="calibri" w:eastAsia="calibri" w:cs="calibri"/>
          <w:sz w:val="24"/>
          <w:szCs w:val="24"/>
        </w:rPr>
        <w:t xml:space="preserve"> oraz doradztwa dla biznesu. Odpowiednie kwalifikacje potwierdzają certyfikaty International Compliance Association w tym zakresie, a także doświadczenie w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braki związane z procedurami AML mogą być przyczyną sankcji karnych. Warto więc zadbać o odpowiednie działania, rejestry i wzorce dokumentów.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źródło bogatej wiedzy, która pomoże przygotować się do ich prawidłowego wdrożenia. Staramy się zachować równowagę pomiędzy obciążeniem instytucji nowymi procedurami a spełnieniem warunków postawionych w Ustawie o przeciwdziałaniu praniu pieniędzy oraz finansowaniu terroryzmu.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2026-02-10T17:45:17+01:00</dcterms:created>
  <dcterms:modified xsi:type="dcterms:W3CDTF">2026-02-10T17:45:17+01:00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