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Ekspert AML - wsparcie dla Twojej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Twoja działalność należy do grona instytucji obowiązanych, które powinny wdrożyć obowiązkowe procedury AML, wsparciem będzie &lt;b&gt;ekspert AML&lt;/b&gt;. Odpowiednie kwalifikacje w tym zakresie z pewnością pomogą uruchomić odpowiednie działania.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Obowiązkowe przeciwdziałanie praniu pieniędzy (AML) dotyczy szeregu firm, stowarzyszeń i fundacji. </w:t>
      </w:r>
      <w:r>
        <w:rPr>
          <w:rFonts w:ascii="calibri" w:hAnsi="calibri" w:eastAsia="calibri" w:cs="calibri"/>
          <w:sz w:val="24"/>
          <w:szCs w:val="24"/>
          <w:b/>
        </w:rPr>
        <w:t xml:space="preserve">Ekspert AML</w:t>
      </w:r>
      <w:r>
        <w:rPr>
          <w:rFonts w:ascii="calibri" w:hAnsi="calibri" w:eastAsia="calibri" w:cs="calibri"/>
          <w:sz w:val="24"/>
          <w:szCs w:val="24"/>
        </w:rPr>
        <w:t xml:space="preserve"> to profesjonalna pomoc w tym zakresie. Brak wypełnienia założeń ustawy może skutkować dotkliwymi karami administracyjnymi, a także karnymi. Organem, którego zadaniem jest analiza i kontrola działań w tej materii jest Generalny Inspektor Informacji Finansowej.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AML - kim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oferowane dla instytucji obowiązanych wymagają ciągłej aktualizacji, zgodnej z aktualnym stanem prawnym. Powinny być również dopasowane do profilu konkretnej działalności. Współpracując z iAML, otrzymasz wsparcie doświadczonego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eksperta</w:t>
      </w:r>
      <w:r>
        <w:rPr>
          <w:rFonts w:ascii="calibri" w:hAnsi="calibri" w:eastAsia="calibri" w:cs="calibri"/>
          <w:sz w:val="24"/>
          <w:szCs w:val="24"/>
        </w:rPr>
        <w:t xml:space="preserve"> z dziedziny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AML</w:t>
      </w:r>
      <w:r>
        <w:rPr>
          <w:rFonts w:ascii="calibri" w:hAnsi="calibri" w:eastAsia="calibri" w:cs="calibri"/>
          <w:sz w:val="24"/>
          <w:szCs w:val="24"/>
        </w:rPr>
        <w:t xml:space="preserve"> oraz doradztwa dla biznesu. Odpowiednie kwalifikacje potwierdzają certyfikaty International Compliance Association w tym zakresie, a także doświadczenie w branży.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Ewentualne braki związane z procedurami AML mogą być przyczyną sankcji karnych. Warto więc zadbać o odpowiednie działania, rejestry i wzorce dokumentów.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Ekspert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źródło bogatej wiedzy, która pomoże przygotować się do ich prawidłowego wdrożenia. Staramy się zachować równowagę pomiędzy obciążeniem instytucji nowymi procedurami a spełnieniem warunków postawionych w Ustawie o przeciwdziałaniu praniu pieniędzy oraz finansowaniu terroryzmu.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2026-09-14T09:09:39+02:00</dcterms:created>
  <dcterms:modified xsi:type="dcterms:W3CDTF">2026-09-14T09:09:39+02:00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