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Przeciwdziałanie praniu pieniędzy - jak możemy Ci pomóc?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Obowiązkowa procedura, jaką jest &lt;b&gt;przeciwdziałanie praniu pieniędzy&lt;/b&gt;, może wydawać się skomplikowana. Wspólnie z nami jednak będziesz dużo lepiej przygotowany do wdrożenia odpowiednich działań.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Przeciwdziałanie praniu pieniędzy</w:t>
      </w:r>
      <w:r>
        <w:rPr>
          <w:rFonts w:ascii="calibri" w:hAnsi="calibri" w:eastAsia="calibri" w:cs="calibri"/>
          <w:sz w:val="24"/>
          <w:szCs w:val="24"/>
        </w:rPr>
        <w:t xml:space="preserve"> jest w Polsce obowiązkiem ustawowym. Należy go przestrzegać tak jak zasad ochrony danych osobowych, czy BHP. Wprowadzenie założeń ustawy w życie może wydawać się z początku skomplikowane. W naszej pracy staramy się przede wszystkim ułatwić codzienną działalność Twojej firmy.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5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Przeciwdziałanie praniu pieniędzy - usługi dla biznesu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rozwiązania to przede wszystkim ułatwienia dla Ciebie i Twojego przedsiębiorstwa. Przygotowaliśmy szeroko zakrojone doradztwo, na które składa się program szkoleń, wdrożenie modelowych procedur, przygotowanie rejestru i systemu ochrony transakcji. Ponadto zapewniamy wsparcie prawne przy zawieraniu nowych relacji z klientami. Całość z pewnością ułatwi przygotowanie do ewentualnych kontroli i prowadzenie wszystkich procedur zgodnie z obowiązującymi przepisami.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Wsparcie dla korporacji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</w:t>
      </w:r>
      <w:r>
        <w:rPr>
          <w:rFonts w:ascii="calibri" w:hAnsi="calibri" w:eastAsia="calibri" w:cs="calibri"/>
          <w:sz w:val="24"/>
          <w:szCs w:val="24"/>
          <w:b/>
        </w:rPr>
        <w:t xml:space="preserve">przeciwdziałanie praniu pieniędzy</w:t>
      </w:r>
      <w:r>
        <w:rPr>
          <w:rFonts w:ascii="calibri" w:hAnsi="calibri" w:eastAsia="calibri" w:cs="calibri"/>
          <w:sz w:val="24"/>
          <w:szCs w:val="24"/>
        </w:rPr>
        <w:t xml:space="preserve"> w korporacjach, przygotowaliśmy kompletny system analityczny. Narzędzie pozwala na analizę i ocenę ryzyka transakcji, jest na bieżąco aktualizowane zgodnie z obowiązującym prawem. Produkt dopasowujemy indywidualnie do potrzeb każdego klienta, wykonując uprzednio kompleksową analizę działań AML. Jeśli nie wszystkie zostały odpowiednio wdrożone, wspieramy przygotowanie stosownych rozwiązań mających na celu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przeciwdziałanie praniu pieniędzy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iaml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2025-12-15T12:15:15+01:00</dcterms:created>
  <dcterms:modified xsi:type="dcterms:W3CDTF">2025-12-15T12:15:15+01:00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