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nowe obowiązki AML?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przedsiębiorcy i instytucje obowiązane muszą wywiązać się z szeregu &lt;b&gt;obowiązków AML&lt;/b&gt;. Sprawdź, jakie są i czy Twoja firma działa zgodnie z nowymi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zaczęła obowiązywać nowa ustawa, wszystkie firmy związane z branżą finansową, a także instytucje obowiązane muszą wdrożyć wyznaczone w niej procedury. Jeśli nie jesteś pewien, czy Twoje przedsiębiorstwo wywiązuje się w pełni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obowiązków AML</w:t>
      </w:r>
      <w:r>
        <w:rPr>
          <w:rFonts w:ascii="calibri" w:hAnsi="calibri" w:eastAsia="calibri" w:cs="calibri"/>
          <w:sz w:val="24"/>
          <w:szCs w:val="24"/>
        </w:rPr>
        <w:t xml:space="preserve">, przeczytaj ten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dotyczą nowe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 art. 2 ust. 1 wyszczególnia podmioty, których dotyczą nowe przepisy. Są to instytucje obowiązane, czyli banki, spółdzielcze kasy oszczędnościowo-kredytowe, biura usług płatniczych, pośrednicy nieruchomości, a także w ograniczonym zakresie notariusze, adwokaci, doradcy podatkowi, radcy prawni itd.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na nich nałożone ze względu na to, by między innymi móc określić zasady współpracy takich instytucji z Generalnym Inspektorem Informacji Finansowej w kwestii przeciwdziałania praniu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obowiązki AML</w:t>
      </w:r>
      <w:r>
        <w:rPr>
          <w:rFonts w:ascii="calibri" w:hAnsi="calibri" w:eastAsia="calibri" w:cs="calibri"/>
          <w:sz w:val="24"/>
          <w:szCs w:val="24"/>
        </w:rPr>
        <w:t xml:space="preserve">, które zostały nałożone w tym roku, można podzielić na pięć grup. Pierwsza z nich to ocenianie i identyfikowanie ryzyka dotyczącego finansowania terroryzmu i prania pieniędzy. Druga wiąże się z wdrażaniem i stosowaniem nowych środków bezpieczeństwa finansowego. Trzecia to gromadzenie i przekazywanie informacji właściwym instytucjom, czwarta to współdziałanie z GIIF, a piąta - wdrażanie działań o charakterze organizacyjnym. Sprawdź, czy Twoja firma wywiązuje się ze wszystkich tych obowiązków i działa zgodnie z ustawą AML.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obowiazki-instytucji-obowiazany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2026-03-29T05:24:22+02:00</dcterms:created>
  <dcterms:modified xsi:type="dcterms:W3CDTF">2026-03-29T05:24:22+02:00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