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Ustawa o przeciwdziałaniu praniu brudnych pieniędzy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Oparta na międzynarodowych regulacjach określonych przez unijne przepisy &lt;b&gt;Ustawa o przeciwdziałaniu praniu brudnych pieniędzy&lt;/b&gt; nakłada wymóg AML na firmy i przedsiębiorców. Brak odpowiednich działań może skutkować dotkliwymi karami. Kogo więc dotyczy?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uporządkować określenia - zastosowany w tekście termin "</w:t>
      </w:r>
      <w:r>
        <w:rPr>
          <w:rFonts w:ascii="calibri" w:hAnsi="calibri" w:eastAsia="calibri" w:cs="calibri"/>
          <w:sz w:val="24"/>
          <w:szCs w:val="24"/>
          <w:b/>
        </w:rPr>
        <w:t xml:space="preserve">Ustawa o przeciwdziałaniu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" to skrót pełnej nazwy aktu prawnego,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Ustawa o przeciwdziałaniu praniu pieniędzy oraz finansowaniu terroryzmu</w:t>
      </w:r>
      <w:r>
        <w:rPr>
          <w:rFonts w:ascii="calibri" w:hAnsi="calibri" w:eastAsia="calibri" w:cs="calibri"/>
          <w:sz w:val="24"/>
          <w:szCs w:val="24"/>
        </w:rPr>
        <w:t xml:space="preserve">. Poszukując treści dokumentu, należy kierować się tą właśnie nazwą.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Ustawa o przeciwdziałaniu praniu brudnych pieniędzy - kogo dotyczy?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tzw. instytucji obowiązanych jest dość długa. Streszczając ją do minimum, tematem zainteresować się powinny przedsiębiorstwa oraz firmy, które zajmują się m.in.: finansami, podatkami, rachunkowością, pieniądzem elektronicznym i prawnicy. AML powinni wprowadzić również np. pośrednicy handlu nieruchomościami i handlarze kamieniami szlachetnymi. To jednak nie koniec listy - zachęcamy do odwiedzenia naszej strony internetowej, na której dokładniej opisaliśmy kogo dotyczy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ustawa o przeciwdziałaniu praniu brudnych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zadania stawia ustawa?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obowiązkiem jest analiza transakcji oraz raportowanie do Generalnego Inspektora Informacji Finansowej tych zagrożonych. W tym celu przeprowadzone muszą być odpowiednie szkolenia, należy stworzyć odpowiedni rejestr i procedurę AML. Braki mogą skutkować karami administracyjnymi, grzywną lub nawet więzieniem.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2026-10-12T05:43:22+02:00</dcterms:created>
  <dcterms:modified xsi:type="dcterms:W3CDTF">2026-10-12T05:43:22+02:00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