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o przeciwdziałaniu praniu brudnych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Oparta na międzynarodowych regulacjach określonych przez unijne przepisy &lt;b&gt;Ustawa o przeciwdziałaniu praniu brudnych pieniędzy&lt;/b&gt; nakłada wymóg AML na firmy i przedsiębiorców. Brak odpowiednich działań może skutkować dotkliwymi karami. Kogo więc dotyczy?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uporządkować określenia - zastosowany w tekście termin "</w:t>
      </w:r>
      <w:r>
        <w:rPr>
          <w:rFonts w:ascii="calibri" w:hAnsi="calibri" w:eastAsia="calibri" w:cs="calibri"/>
          <w:sz w:val="24"/>
          <w:szCs w:val="24"/>
          <w:b/>
        </w:rPr>
        <w:t xml:space="preserve">Ustawa o 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" to skrót pełnej nazwy aktu prawnego,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o przeciwdziałaniu praniu pieniędzy oraz finansowaniu terroryzmu</w:t>
      </w:r>
      <w:r>
        <w:rPr>
          <w:rFonts w:ascii="calibri" w:hAnsi="calibri" w:eastAsia="calibri" w:cs="calibri"/>
          <w:sz w:val="24"/>
          <w:szCs w:val="24"/>
        </w:rPr>
        <w:t xml:space="preserve">. Poszukując treści dokumentu, należy kierować się tą właśnie nazwą.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przeciwdziałaniu praniu brudnych pieniędzy - kogo dotyczy?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tzw. instytucji obowiązanych jest dość długa. Streszczając ją do minimum, tematem zainteresować się powinny przedsiębiorstwa oraz firmy, które zajmują się m.in.: finansami, podatkami, rachunkowością, pieniądzem elektronicznym i prawnicy. AML powinni wprowadzić również np. pośrednicy handlu nieruchomościami i handlarze kamieniami szlachetnymi. To jednak nie koniec listy - zachęcamy do odwiedzenia naszej strony internetowej, na której dokładniej opisaliśmy kogo dotyczy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ustawa o przeciwdziałaniu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zadania stawia ustawa?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obowiązkiem jest analiza transakcji oraz raportowanie do Generalnego Inspektora Informacji Finansowej tych zagrożonych. W tym celu przeprowadzone muszą być odpowiednie szkolenia, należy stworzyć odpowiedni rejestr i procedurę AML. Braki mogą skutkować karami administracyjnymi, grzywną lub nawet więzieniem.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2025-11-08T07:08:59+01:00</dcterms:created>
  <dcterms:modified xsi:type="dcterms:W3CDTF">2025-11-08T07:08:59+01:00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