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AML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istotnych elementów podczas wdrażania działań mających na celu przeciwdziałanie praniu pieniędzy, jest &lt;b&gt;szkolenie AML&lt;/b&gt;. Odpowiednie źródło wiedzy jest niezbędne, by odpowiednio przygotować się na nadchodzące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AML</w:t>
      </w:r>
      <w:r>
        <w:rPr>
          <w:rFonts w:ascii="calibri" w:hAnsi="calibri" w:eastAsia="calibri" w:cs="calibri"/>
          <w:sz w:val="24"/>
          <w:szCs w:val="24"/>
        </w:rPr>
        <w:t xml:space="preserve"> ma charakter okresowy. Jest również obowiązkiem nałożonym przez ustawodawcę. Pozwala zdobyć niezbędną wiedzę, opartą na aktualnych przepisach prawa. Po odbyciu szkolenia e-learningowego uczestnik otrzymuje stosowne potwierdzenie. Jest ono ważne rok lub do momentu zmiany przepisów.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jest najważniejsza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zachować wysoki poziom merytoryczny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szkoleń AML</w:t>
      </w:r>
      <w:r>
        <w:rPr>
          <w:rFonts w:ascii="calibri" w:hAnsi="calibri" w:eastAsia="calibri" w:cs="calibri"/>
          <w:sz w:val="24"/>
          <w:szCs w:val="24"/>
        </w:rPr>
        <w:t xml:space="preserve">, są one stale uaktualniane. Ich weryfikacji dokonuje ekspert AML, który posiada certyfikat International Compliance Association potwierdzający wiedzę w zakresie przeciwdziałania praniu brudnych pieniędzy. Pozwala to utrzymać wysoką jakość oferowanych szkoleń, a także zapewnić klientom dostęp do aktualnej bazy wiedzy. Na jej podstawie wdrożenie procedur AML powinno być łatwiejsze.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AML - dział compliance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większych firmach wdrożenie odpowiednich, zaawansowanych narzędzi to nie koniec niezbędnych działań. Obowiązkowe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pracowników działów zajmujących się w firmie przeciwdziałaniem praniu pieniędzy to również wiedza praktyczna. Jest ona bardzo przydatna do optymalizacji działań i ułatwia przystosowanie się do nowych wymagań. Należy pamiętać, że wymagane szkolenie to tylko jeden z etapów wdrażania AML w firmie. Więcej informacji na ten temat znaleźć można w innych artykułach oraz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2026-09-14T09:05:48+02:00</dcterms:created>
  <dcterms:modified xsi:type="dcterms:W3CDTF">2026-09-14T09:05:48+02:00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