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AML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przepisami, które niedawno weszły w życie, każda instytucja obowiązana ma obowiązek wdrożyć procedury dotyczące przeciwdziałania praniu pieniędzy. W tym procesie pomocne mogą okazać się &lt;i&gt;narzędzia AML&lt;/i&gt;, czyli specjalny system opracowany przez firmę Incaso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przeciwdziałaniu praniu pieniędzy uderzyła najbardziej w instytucje obowiązane, które muszą dostosować się do nowych przepisów i wprowadzić wiele zmian w strukturze funkcjonowania firmy.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AML</w:t>
      </w:r>
      <w:r>
        <w:rPr>
          <w:rFonts w:ascii="calibri" w:hAnsi="calibri" w:eastAsia="calibri" w:cs="calibri"/>
          <w:sz w:val="24"/>
          <w:szCs w:val="24"/>
        </w:rPr>
        <w:t xml:space="preserve"> mają za zadanie im to ułatwić. Warto bliżej przypatrzeć się owym rozwiązaniom.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AML - jak przeciwdziałać praniu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AML to tak naprawdę skrót od Anti Money Laundering, czyli po polsku "przeciwdziałanie praniu pieniędzy". Banki krajowe, biura rachunkowe i wielu innych przedsiębiorców to instytucje narażone na oszustwa finansowe. Warto wiedzieć, że firmy tego typu mogą także zostać oskarżone o branie udziału w zabronionym procederze. By tego uniknąć, należy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 AML</w:t>
      </w:r>
      <w:r>
        <w:rPr>
          <w:rFonts w:ascii="calibri" w:hAnsi="calibri" w:eastAsia="calibri" w:cs="calibri"/>
          <w:sz w:val="24"/>
          <w:szCs w:val="24"/>
        </w:rPr>
        <w:t xml:space="preserve"> i wprowadzić właściwy system ochronny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dzięki narzędziom 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Incaso Group już od kilkunastu lat wspiera polskich przedsiębiorców działających w branży finansowej. Opracowane przez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jej przeprowadzić firmy przez procedury związane z przeciwdziałaniem praniu brudnych pieniędzy. Oferuje kilka opcji współpracy z wykorzystaniem opracowanego systemu. W zależności od wielkości instytucji, profesjonaliści dobiorą odpowiedni wariant.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2025-11-08T07:06:58+01:00</dcterms:created>
  <dcterms:modified xsi:type="dcterms:W3CDTF">2025-11-08T07:06:58+01:00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