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Przeciwdziałanie praniu brudnych pieniędzy - jakie kary za niewdrożenie procedur?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Wraz z nałożeniem nowych przepisów dotyczących &lt;i&gt;przeciwdziałania praniu brudnych pieniędzy&lt;/i&gt;, pojawiły się też nowe procedury do wdrożenia, a także kary za niewypełnienie tego obowiązku. Dowiedz się, co grozi Twojej firmie, jeśli nie zastosujesz się do nowych zasad.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jesteś przedsiębiorcą zarządzającym firmą związaną z branżą finansową, powinieneś wdrożyć procedury nałożone na instytucje mocą ustawy 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przeciwdziałaniu praniu brudnych pieniędzy </w:t>
      </w:r>
      <w:r>
        <w:rPr>
          <w:rFonts w:ascii="calibri" w:hAnsi="calibri" w:eastAsia="calibri" w:cs="calibri"/>
          <w:sz w:val="24"/>
          <w:szCs w:val="24"/>
        </w:rPr>
        <w:t xml:space="preserve">i finansowaniu terroryzmu. W przypadku, kiedy tego nie zrobisz, możesz zostać obciążony sporymi karami. Jakimi i za co? Przekonaj się, czytając nasz artykuł.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Przeciwdziałanie praniu brudnych pieniędzy - jakie kary grożą w związku z ustawą?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w każdym przypadku niespełnienia formalności, ustawodawca może wyciągnąć stosowne konsekwencje. Jeśli chodzi o naruszenia ustawy dotyczącej </w:t>
      </w:r>
      <w:r>
        <w:rPr>
          <w:rFonts w:ascii="calibri" w:hAnsi="calibri" w:eastAsia="calibri" w:cs="calibri"/>
          <w:sz w:val="24"/>
          <w:szCs w:val="24"/>
          <w:b/>
        </w:rPr>
        <w:t xml:space="preserve">przeciwdziałania praniu brudnych pieniędzy</w:t>
      </w:r>
      <w:r>
        <w:rPr>
          <w:rFonts w:ascii="calibri" w:hAnsi="calibri" w:eastAsia="calibri" w:cs="calibri"/>
          <w:sz w:val="24"/>
          <w:szCs w:val="24"/>
        </w:rPr>
        <w:t xml:space="preserve">, kary te są wyjątkowo surowe. Budzą w związku z tym wiele kontrowersji. Można wyróżnić dwa rodzaje sankcji - finansowe i administracyjne. W przypadku tych pierwszych mogą one sięgać nawet miliona euro.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8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Kogo mogą dotknąć kary?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Firmy, które nie zadbają o odpowiednie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przeciwdziałanie praniu brudnych pieniędzy</w:t>
        </w:r>
      </w:hyperlink>
      <w:r>
        <w:rPr>
          <w:rFonts w:ascii="calibri" w:hAnsi="calibri" w:eastAsia="calibri" w:cs="calibri"/>
          <w:sz w:val="24"/>
          <w:szCs w:val="24"/>
        </w:rPr>
        <w:t xml:space="preserve">, mogą zostać obciążone karami czy sankcjami. Dotyczy to wszystkich instytucji obowiązanych, osób prowadzących działalność polegającą na tworzeniu spółek, członków zarządu w tych spółkach, a także podmioty działające w formie spółek. Warto zatem pamiętać o wdrożeniu stosownych procedur, tak by uniknąć nie tylko kar, ale również ryzyka zostania oszukanym w kwestiach finansowych.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389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iaml.com.pl/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2026-10-29T10:16:27+01:00</dcterms:created>
  <dcterms:modified xsi:type="dcterms:W3CDTF">2026-10-29T10:16:27+01:00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