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AML</w:t>
      </w:r>
    </w:p>
    <w:p>
      <w:pPr>
        <w:spacing w:before="0" w:after="500" w:line="264" w:lineRule="auto"/>
      </w:pPr>
      <w:r>
        <w:rPr>
          <w:rFonts w:ascii="calibri" w:hAnsi="calibri" w:eastAsia="calibri" w:cs="calibri"/>
          <w:sz w:val="36"/>
          <w:szCs w:val="36"/>
          <w:b/>
        </w:rPr>
        <w:t xml:space="preserve">W celu weryfikacji poprawności wdrożonych procedur, warto przeprowadzić &lt;b&gt;audyt AML&lt;/b&gt;. Jest to element kompleksowych usług doradczych, na którym powinny bazować dalsze podejmowane kroki. Dzięki temu nowe założenia będą bardzo dobrze dopasowane do potrzeb i profilu działania konkretnej instytucji obowiązanej.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Audyt AML</w:t>
      </w:r>
      <w:r>
        <w:rPr>
          <w:rFonts w:ascii="calibri" w:hAnsi="calibri" w:eastAsia="calibri" w:cs="calibri"/>
          <w:sz w:val="24"/>
          <w:szCs w:val="24"/>
        </w:rPr>
        <w:t xml:space="preserve"> to pierwszy krok, który pozwala znaleźć ewentualne niedopatrzenia, braki lub błędy w wymaganej procedurze przeciwdziałania praniu pieniędzy. Ten obowiązek wynika z Ustawy o przeciwdziałaniu praniu pieniędzy oraz finansowaniu terroryzmu, opartej na unijnych regulacjach.</w:t>
      </w:r>
    </w:p>
    <w:p>
      <w:pPr>
        <w:spacing w:before="0" w:after="500" w:line="264" w:lineRule="auto"/>
      </w:pPr>
      <w:r>
        <w:rPr>
          <w:rFonts w:ascii="calibri" w:hAnsi="calibri" w:eastAsia="calibri" w:cs="calibri"/>
          <w:sz w:val="36"/>
          <w:szCs w:val="36"/>
          <w:b/>
        </w:rPr>
        <w:t xml:space="preserve">Audyt AML - liczy się profesjonalizm</w:t>
      </w:r>
    </w:p>
    <w:p>
      <w:pPr>
        <w:spacing w:before="0" w:after="300"/>
      </w:pPr>
      <w:r>
        <w:rPr>
          <w:rFonts w:ascii="calibri" w:hAnsi="calibri" w:eastAsia="calibri" w:cs="calibri"/>
          <w:sz w:val="24"/>
          <w:szCs w:val="24"/>
        </w:rPr>
        <w:t xml:space="preserve">Decydując się na przeprowadzenie weryfikacji dotychczas stosowanych procedur, warto powierzyć to zadanie ekspertom. Certyfikowany, odpowiednio przeszkolony i doświadczony fachowiec nie tylko odnajdzie ewentualne problemy, ale również pomoże przygotować niezbędne poprawki.</w:t>
      </w:r>
    </w:p>
    <w:p>
      <w:pPr>
        <w:spacing w:before="0" w:after="300"/>
      </w:pPr>
    </w:p>
    <w:p>
      <w:pPr>
        <w:jc w:val="center"/>
      </w:pPr>
      <w:r>
        <w:pict>
          <v:shape type="#_x0000_t75" style="width:480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Element kompleksowej usługi</w:t>
      </w:r>
    </w:p>
    <w:p>
      <w:pPr>
        <w:spacing w:before="0" w:after="300"/>
      </w:pPr>
      <w:r>
        <w:rPr>
          <w:rFonts w:ascii="calibri" w:hAnsi="calibri" w:eastAsia="calibri" w:cs="calibri"/>
          <w:sz w:val="24"/>
          <w:szCs w:val="24"/>
        </w:rPr>
        <w:t xml:space="preserve">W ramach współpracy z iAML, nasi doradcy przeprowadzą </w:t>
      </w:r>
      <w:r>
        <w:rPr>
          <w:rFonts w:ascii="calibri" w:hAnsi="calibri" w:eastAsia="calibri" w:cs="calibri"/>
          <w:sz w:val="24"/>
          <w:szCs w:val="24"/>
          <w:i/>
          <w:iCs/>
        </w:rPr>
        <w:t xml:space="preserve">audyt AML</w:t>
      </w:r>
      <w:r>
        <w:rPr>
          <w:rFonts w:ascii="calibri" w:hAnsi="calibri" w:eastAsia="calibri" w:cs="calibri"/>
          <w:sz w:val="24"/>
          <w:szCs w:val="24"/>
        </w:rPr>
        <w:t xml:space="preserve">. Dzięki temu uda się przygotować odpowiednie usprawnienia procedur. Jest to solidna podstawa do budowy sprawnie działającego systemu, który nie dość że spełni wymagania ustawowe, to jeszcze nie będzie wielkim obciążeniem dla pracowników. Oczywiście niezbędna jest również odpowiednia wiedza. Kompleksowa usługa to szkolenia, wzorce dokumentów, rejestrów i analiz. Wszystko poparte aktualnymi źródłami wiedzy. Z nami procedury AML staną się bardziej zrozumiałe, a przez to łatwiejsze do wprowadzenia. Więcej informacji związanych z ofertą znaleźć można na stronie </w:t>
      </w:r>
      <w:hyperlink r:id="rId8" w:history="1">
        <w:r>
          <w:rPr>
            <w:rFonts w:ascii="calibri" w:hAnsi="calibri" w:eastAsia="calibri" w:cs="calibri"/>
            <w:color w:val="0000FF"/>
            <w:sz w:val="24"/>
            <w:szCs w:val="24"/>
            <w:u w:val="single"/>
          </w:rPr>
          <w:t xml:space="preserve">https://www.iaml.com.pl/</w:t>
        </w:r>
      </w:hyperlink>
      <w:r>
        <w:rPr>
          <w:rFonts w:ascii="calibri" w:hAnsi="calibri" w:eastAsia="calibri" w:cs="calibri"/>
          <w:sz w:val="24"/>
          <w:szCs w:val="24"/>
        </w:rPr>
        <w:t xml:space="preserve"> , przygotowaliśmy kilka form współpracy dopasowanych do różnych instytucji obowiązanych.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2026-05-28T22:38:12+02:00</dcterms:created>
  <dcterms:modified xsi:type="dcterms:W3CDTF">2026-05-28T22:38:12+02:00</dcterms:modified>
</cp:coreProperties>
</file>

<file path=docProps/custom.xml><?xml version="1.0" encoding="utf-8"?>
<Properties xmlns="http://schemas.openxmlformats.org/officeDocument/2006/custom-properties" xmlns:vt="http://schemas.openxmlformats.org/officeDocument/2006/docPropsVTypes"/>
</file>